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9EDA295" w14:textId="77777777" w:rsidR="00EB15F2" w:rsidRDefault="00000000">
      <w:pPr>
        <w:spacing w:after="80"/>
      </w:pPr>
      <w:r>
        <w:rPr>
          <w:b/>
          <w:bCs/>
          <w:color w:val="2E5D8E"/>
          <w:sz w:val="36"/>
          <w:szCs w:val="36"/>
        </w:rPr>
        <w:t>RHS Maths BGE Information Evening</w:t>
      </w:r>
    </w:p>
    <w:p w14:paraId="3C83115F" w14:textId="77777777" w:rsidR="00EB15F2" w:rsidRDefault="00000000">
      <w:pPr>
        <w:spacing w:after="80"/>
      </w:pPr>
      <w:r>
        <w:rPr>
          <w:b/>
          <w:bCs/>
          <w:color w:val="595959"/>
          <w:sz w:val="28"/>
          <w:szCs w:val="28"/>
        </w:rPr>
        <w:t>Parent Questions &amp; Answers</w:t>
      </w:r>
    </w:p>
    <w:p w14:paraId="0B3E4694" w14:textId="77777777" w:rsidR="00EB15F2" w:rsidRDefault="00000000">
      <w:pPr>
        <w:pBdr>
          <w:bottom w:val="single" w:sz="4" w:space="6" w:color="CCCCCC"/>
        </w:pBdr>
        <w:spacing w:after="400"/>
      </w:pPr>
      <w:r>
        <w:rPr>
          <w:i/>
          <w:iCs/>
          <w:color w:val="595959"/>
          <w:sz w:val="20"/>
          <w:szCs w:val="20"/>
        </w:rPr>
        <w:t>Following our online Teams information session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00"/>
        <w:gridCol w:w="5960"/>
      </w:tblGrid>
      <w:tr w:rsidR="00EB15F2" w14:paraId="7C025513" w14:textId="77777777">
        <w:tblPrEx>
          <w:tblCellMar>
            <w:top w:w="0" w:type="dxa"/>
            <w:bottom w:w="0" w:type="dxa"/>
          </w:tblCellMar>
        </w:tblPrEx>
        <w:tc>
          <w:tcPr>
            <w:tcW w:w="3400" w:type="dxa"/>
            <w:tcBorders>
              <w:top w:val="single" w:sz="1" w:space="0" w:color="CCCCCC"/>
              <w:left w:val="single" w:sz="1" w:space="0" w:color="CCCCCC"/>
              <w:bottom w:val="single" w:sz="1" w:space="0" w:color="CCCCCC"/>
              <w:right w:val="single" w:sz="1" w:space="0" w:color="CCCCCC"/>
            </w:tcBorders>
            <w:shd w:val="clear" w:color="auto" w:fill="1C3F6E"/>
            <w:tcMar>
              <w:top w:w="100" w:type="dxa"/>
              <w:left w:w="160" w:type="dxa"/>
              <w:bottom w:w="100" w:type="dxa"/>
              <w:right w:w="160" w:type="dxa"/>
            </w:tcMar>
          </w:tcPr>
          <w:p w14:paraId="6F263FCE" w14:textId="77777777" w:rsidR="00EB15F2" w:rsidRDefault="00000000">
            <w:r>
              <w:rPr>
                <w:b/>
                <w:bCs/>
                <w:color w:val="FFFFFF"/>
              </w:rPr>
              <w:t>Question</w:t>
            </w:r>
          </w:p>
        </w:tc>
        <w:tc>
          <w:tcPr>
            <w:tcW w:w="5960" w:type="dxa"/>
            <w:tcBorders>
              <w:top w:val="single" w:sz="1" w:space="0" w:color="CCCCCC"/>
              <w:left w:val="single" w:sz="1" w:space="0" w:color="CCCCCC"/>
              <w:bottom w:val="single" w:sz="1" w:space="0" w:color="CCCCCC"/>
              <w:right w:val="single" w:sz="1" w:space="0" w:color="CCCCCC"/>
            </w:tcBorders>
            <w:shd w:val="clear" w:color="auto" w:fill="1C3F6E"/>
            <w:tcMar>
              <w:top w:w="100" w:type="dxa"/>
              <w:left w:w="160" w:type="dxa"/>
              <w:bottom w:w="100" w:type="dxa"/>
              <w:right w:w="160" w:type="dxa"/>
            </w:tcMar>
          </w:tcPr>
          <w:p w14:paraId="296AA9D7" w14:textId="77777777" w:rsidR="00EB15F2" w:rsidRDefault="00000000">
            <w:r>
              <w:rPr>
                <w:b/>
                <w:bCs/>
                <w:color w:val="FFFFFF"/>
              </w:rPr>
              <w:t>Answer</w:t>
            </w:r>
          </w:p>
        </w:tc>
      </w:tr>
      <w:tr w:rsidR="00EB15F2" w14:paraId="49CFA44D" w14:textId="77777777">
        <w:tblPrEx>
          <w:tblCellMar>
            <w:top w:w="0" w:type="dxa"/>
            <w:bottom w:w="0" w:type="dxa"/>
          </w:tblCellMar>
        </w:tblPrEx>
        <w:tc>
          <w:tcPr>
            <w:tcW w:w="9360" w:type="dxa"/>
            <w:gridSpan w:val="2"/>
            <w:tcBorders>
              <w:top w:val="single" w:sz="1" w:space="0" w:color="CCCCCC"/>
              <w:left w:val="single" w:sz="1" w:space="0" w:color="CCCCCC"/>
              <w:bottom w:val="single" w:sz="1" w:space="0" w:color="CCCCCC"/>
              <w:right w:val="single" w:sz="1" w:space="0" w:color="CCCCCC"/>
            </w:tcBorders>
            <w:shd w:val="clear" w:color="auto" w:fill="2E5D8E"/>
            <w:tcMar>
              <w:top w:w="100" w:type="dxa"/>
              <w:left w:w="160" w:type="dxa"/>
              <w:bottom w:w="100" w:type="dxa"/>
              <w:right w:w="160" w:type="dxa"/>
            </w:tcMar>
          </w:tcPr>
          <w:p w14:paraId="0086AE0C" w14:textId="77777777" w:rsidR="00EB15F2" w:rsidRDefault="00000000">
            <w:r>
              <w:rPr>
                <w:b/>
                <w:bCs/>
                <w:color w:val="FFFFFF"/>
                <w:sz w:val="24"/>
                <w:szCs w:val="24"/>
              </w:rPr>
              <w:t>Session &amp; Recordings</w:t>
            </w:r>
          </w:p>
        </w:tc>
      </w:tr>
      <w:tr w:rsidR="00EB15F2" w14:paraId="72A3758B" w14:textId="77777777">
        <w:tblPrEx>
          <w:tblCellMar>
            <w:top w:w="0" w:type="dxa"/>
            <w:bottom w:w="0" w:type="dxa"/>
          </w:tblCellMar>
        </w:tblPrEx>
        <w:tc>
          <w:tcPr>
            <w:tcW w:w="3400" w:type="dxa"/>
            <w:tcBorders>
              <w:top w:val="single" w:sz="1" w:space="0" w:color="CCCCCC"/>
              <w:left w:val="single" w:sz="1" w:space="0" w:color="CCCCCC"/>
              <w:bottom w:val="single" w:sz="1" w:space="0" w:color="CCCCCC"/>
              <w:right w:val="single" w:sz="1" w:space="0" w:color="CCCCCC"/>
            </w:tcBorders>
            <w:shd w:val="clear" w:color="auto" w:fill="EBF3FB"/>
            <w:tcMar>
              <w:top w:w="120" w:type="dxa"/>
              <w:left w:w="160" w:type="dxa"/>
              <w:bottom w:w="120" w:type="dxa"/>
              <w:right w:w="160" w:type="dxa"/>
            </w:tcMar>
          </w:tcPr>
          <w:p w14:paraId="3DDF02AE" w14:textId="77777777" w:rsidR="00EB15F2" w:rsidRDefault="00000000">
            <w:r>
              <w:t>Is this session being recorded so I can watch it again?</w:t>
            </w:r>
          </w:p>
        </w:tc>
        <w:tc>
          <w:tcPr>
            <w:tcW w:w="5960" w:type="dxa"/>
            <w:tcBorders>
              <w:top w:val="single" w:sz="1" w:space="0" w:color="CCCCCC"/>
              <w:left w:val="single" w:sz="1" w:space="0" w:color="CCCCCC"/>
              <w:bottom w:val="single" w:sz="1" w:space="0" w:color="CCCCCC"/>
              <w:right w:val="single" w:sz="1" w:space="0" w:color="CCCCCC"/>
            </w:tcBorders>
            <w:shd w:val="clear" w:color="auto" w:fill="FFFFFF"/>
            <w:tcMar>
              <w:top w:w="120" w:type="dxa"/>
              <w:left w:w="160" w:type="dxa"/>
              <w:bottom w:w="120" w:type="dxa"/>
              <w:right w:w="160" w:type="dxa"/>
            </w:tcMar>
          </w:tcPr>
          <w:p w14:paraId="2F7690F3" w14:textId="77777777" w:rsidR="00EB15F2" w:rsidRDefault="00000000">
            <w:r>
              <w:t xml:space="preserve">Yes — the recording is available on the school website at </w:t>
            </w:r>
            <w:hyperlink r:id="rId5" w:history="1">
              <w:r>
                <w:t>royalhighschool.co.uk/presentations-recordings</w:t>
              </w:r>
            </w:hyperlink>
            <w:r>
              <w:t>. All past parent information evening recordings are also archived there.</w:t>
            </w:r>
          </w:p>
        </w:tc>
      </w:tr>
      <w:tr w:rsidR="00EB15F2" w14:paraId="1A30BD76" w14:textId="77777777">
        <w:tblPrEx>
          <w:tblCellMar>
            <w:top w:w="0" w:type="dxa"/>
            <w:bottom w:w="0" w:type="dxa"/>
          </w:tblCellMar>
        </w:tblPrEx>
        <w:tc>
          <w:tcPr>
            <w:tcW w:w="3400" w:type="dxa"/>
            <w:tcBorders>
              <w:top w:val="single" w:sz="1" w:space="0" w:color="CCCCCC"/>
              <w:left w:val="single" w:sz="1" w:space="0" w:color="CCCCCC"/>
              <w:bottom w:val="single" w:sz="1" w:space="0" w:color="CCCCCC"/>
              <w:right w:val="single" w:sz="1" w:space="0" w:color="CCCCCC"/>
            </w:tcBorders>
            <w:shd w:val="clear" w:color="auto" w:fill="EBF3FB"/>
            <w:tcMar>
              <w:top w:w="120" w:type="dxa"/>
              <w:left w:w="160" w:type="dxa"/>
              <w:bottom w:w="120" w:type="dxa"/>
              <w:right w:w="160" w:type="dxa"/>
            </w:tcMar>
          </w:tcPr>
          <w:p w14:paraId="03E14957" w14:textId="77777777" w:rsidR="00EB15F2" w:rsidRDefault="00000000">
            <w:r>
              <w:t>Do we need a login to access the Padlet?</w:t>
            </w:r>
          </w:p>
        </w:tc>
        <w:tc>
          <w:tcPr>
            <w:tcW w:w="5960" w:type="dxa"/>
            <w:tcBorders>
              <w:top w:val="single" w:sz="1" w:space="0" w:color="CCCCCC"/>
              <w:left w:val="single" w:sz="1" w:space="0" w:color="CCCCCC"/>
              <w:bottom w:val="single" w:sz="1" w:space="0" w:color="CCCCCC"/>
              <w:right w:val="single" w:sz="1" w:space="0" w:color="CCCCCC"/>
            </w:tcBorders>
            <w:shd w:val="clear" w:color="auto" w:fill="FFFFFF"/>
            <w:tcMar>
              <w:top w:w="120" w:type="dxa"/>
              <w:left w:w="160" w:type="dxa"/>
              <w:bottom w:w="120" w:type="dxa"/>
              <w:right w:w="160" w:type="dxa"/>
            </w:tcMar>
          </w:tcPr>
          <w:p w14:paraId="74C73B09" w14:textId="03129644" w:rsidR="00EB15F2" w:rsidRDefault="00000000" w:rsidP="003A2B9F">
            <w:r>
              <w:t xml:space="preserve">No — the Padlet is open access, no login required. You can find it at </w:t>
            </w:r>
            <w:hyperlink r:id="rId6" w:history="1">
              <w:r w:rsidR="003A2B9F" w:rsidRPr="003A2B9F">
                <w:rPr>
                  <w:rStyle w:val="Hyperlink"/>
                </w:rPr>
                <w:t>RHS Pad</w:t>
              </w:r>
              <w:r w:rsidR="003A2B9F" w:rsidRPr="003A2B9F">
                <w:rPr>
                  <w:rStyle w:val="Hyperlink"/>
                </w:rPr>
                <w:t>l</w:t>
              </w:r>
              <w:r w:rsidR="003A2B9F" w:rsidRPr="003A2B9F">
                <w:rPr>
                  <w:rStyle w:val="Hyperlink"/>
                </w:rPr>
                <w:t>e</w:t>
              </w:r>
              <w:r w:rsidR="003A2B9F" w:rsidRPr="003A2B9F">
                <w:rPr>
                  <w:rStyle w:val="Hyperlink"/>
                </w:rPr>
                <w:t>t</w:t>
              </w:r>
            </w:hyperlink>
            <w:r>
              <w:t>. We recommend bookmarking it as it is updated regularly.</w:t>
            </w:r>
          </w:p>
        </w:tc>
      </w:tr>
      <w:tr w:rsidR="00EB15F2" w14:paraId="06FB7AF4" w14:textId="77777777">
        <w:tblPrEx>
          <w:tblCellMar>
            <w:top w:w="0" w:type="dxa"/>
            <w:bottom w:w="0" w:type="dxa"/>
          </w:tblCellMar>
        </w:tblPrEx>
        <w:tc>
          <w:tcPr>
            <w:tcW w:w="9360" w:type="dxa"/>
            <w:gridSpan w:val="2"/>
            <w:tcBorders>
              <w:top w:val="single" w:sz="1" w:space="0" w:color="CCCCCC"/>
              <w:left w:val="single" w:sz="1" w:space="0" w:color="CCCCCC"/>
              <w:bottom w:val="single" w:sz="1" w:space="0" w:color="CCCCCC"/>
              <w:right w:val="single" w:sz="1" w:space="0" w:color="CCCCCC"/>
            </w:tcBorders>
            <w:shd w:val="clear" w:color="auto" w:fill="2E5D8E"/>
            <w:tcMar>
              <w:top w:w="100" w:type="dxa"/>
              <w:left w:w="160" w:type="dxa"/>
              <w:bottom w:w="100" w:type="dxa"/>
              <w:right w:w="160" w:type="dxa"/>
            </w:tcMar>
          </w:tcPr>
          <w:p w14:paraId="5AE10EA3" w14:textId="77777777" w:rsidR="00EB15F2" w:rsidRDefault="00000000">
            <w:r>
              <w:rPr>
                <w:b/>
                <w:bCs/>
                <w:color w:val="FFFFFF"/>
                <w:sz w:val="24"/>
                <w:szCs w:val="24"/>
              </w:rPr>
              <w:t>Courses &amp; Pathways</w:t>
            </w:r>
          </w:p>
        </w:tc>
      </w:tr>
      <w:tr w:rsidR="00EB15F2" w14:paraId="5843FDC7" w14:textId="77777777">
        <w:tblPrEx>
          <w:tblCellMar>
            <w:top w:w="0" w:type="dxa"/>
            <w:bottom w:w="0" w:type="dxa"/>
          </w:tblCellMar>
        </w:tblPrEx>
        <w:tc>
          <w:tcPr>
            <w:tcW w:w="3400" w:type="dxa"/>
            <w:tcBorders>
              <w:top w:val="single" w:sz="1" w:space="0" w:color="CCCCCC"/>
              <w:left w:val="single" w:sz="1" w:space="0" w:color="CCCCCC"/>
              <w:bottom w:val="single" w:sz="1" w:space="0" w:color="CCCCCC"/>
              <w:right w:val="single" w:sz="1" w:space="0" w:color="CCCCCC"/>
            </w:tcBorders>
            <w:shd w:val="clear" w:color="auto" w:fill="EBF3FB"/>
            <w:tcMar>
              <w:top w:w="120" w:type="dxa"/>
              <w:left w:w="160" w:type="dxa"/>
              <w:bottom w:w="120" w:type="dxa"/>
              <w:right w:w="160" w:type="dxa"/>
            </w:tcMar>
          </w:tcPr>
          <w:p w14:paraId="78A8A027" w14:textId="77777777" w:rsidR="00EB15F2" w:rsidRDefault="00000000">
            <w:r>
              <w:t>What is the difference between Maths and Applications of Maths?</w:t>
            </w:r>
          </w:p>
        </w:tc>
        <w:tc>
          <w:tcPr>
            <w:tcW w:w="5960" w:type="dxa"/>
            <w:tcBorders>
              <w:top w:val="single" w:sz="1" w:space="0" w:color="CCCCCC"/>
              <w:left w:val="single" w:sz="1" w:space="0" w:color="CCCCCC"/>
              <w:bottom w:val="single" w:sz="1" w:space="0" w:color="CCCCCC"/>
              <w:right w:val="single" w:sz="1" w:space="0" w:color="CCCCCC"/>
            </w:tcBorders>
            <w:shd w:val="clear" w:color="auto" w:fill="FFFFFF"/>
            <w:tcMar>
              <w:top w:w="120" w:type="dxa"/>
              <w:left w:w="160" w:type="dxa"/>
              <w:bottom w:w="120" w:type="dxa"/>
              <w:right w:w="160" w:type="dxa"/>
            </w:tcMar>
          </w:tcPr>
          <w:p w14:paraId="7814FD3D" w14:textId="2E88957A" w:rsidR="00EB15F2" w:rsidRDefault="00000000">
            <w:r>
              <w:t>Both lead to recognised qualifications at National 5 level and beyond. Maths follows a more abstract, algebraic curriculum and typically leads toward Higher Maths and beyond. Applications of Maths is more practical and contextualised — focused on real-world problem solving — and is well-suited to pupils whose future pathways involve numeracy in practical settings. Both are valid and valued qualifications. For more detail, there is a</w:t>
            </w:r>
            <w:r w:rsidR="003A2B9F">
              <w:t>n earlier RHS</w:t>
            </w:r>
            <w:r>
              <w:t xml:space="preserve"> presentation on this topic </w:t>
            </w:r>
            <w:r w:rsidR="003A2B9F">
              <w:t xml:space="preserve">that can be found </w:t>
            </w:r>
            <w:hyperlink r:id="rId7" w:history="1">
              <w:r w:rsidR="003A2B9F" w:rsidRPr="003A2B9F">
                <w:rPr>
                  <w:rStyle w:val="Hyperlink"/>
                </w:rPr>
                <w:t>here</w:t>
              </w:r>
            </w:hyperlink>
            <w:r w:rsidR="003A2B9F">
              <w:t>.</w:t>
            </w:r>
          </w:p>
        </w:tc>
      </w:tr>
      <w:tr w:rsidR="00EB15F2" w14:paraId="11508A82" w14:textId="77777777">
        <w:tblPrEx>
          <w:tblCellMar>
            <w:top w:w="0" w:type="dxa"/>
            <w:bottom w:w="0" w:type="dxa"/>
          </w:tblCellMar>
        </w:tblPrEx>
        <w:tc>
          <w:tcPr>
            <w:tcW w:w="9360" w:type="dxa"/>
            <w:gridSpan w:val="2"/>
            <w:tcBorders>
              <w:top w:val="single" w:sz="1" w:space="0" w:color="CCCCCC"/>
              <w:left w:val="single" w:sz="1" w:space="0" w:color="CCCCCC"/>
              <w:bottom w:val="single" w:sz="1" w:space="0" w:color="CCCCCC"/>
              <w:right w:val="single" w:sz="1" w:space="0" w:color="CCCCCC"/>
            </w:tcBorders>
            <w:shd w:val="clear" w:color="auto" w:fill="2E5D8E"/>
            <w:tcMar>
              <w:top w:w="100" w:type="dxa"/>
              <w:left w:w="160" w:type="dxa"/>
              <w:bottom w:w="100" w:type="dxa"/>
              <w:right w:w="160" w:type="dxa"/>
            </w:tcMar>
          </w:tcPr>
          <w:p w14:paraId="436B956F" w14:textId="77777777" w:rsidR="00EB15F2" w:rsidRDefault="00000000">
            <w:r>
              <w:rPr>
                <w:b/>
                <w:bCs/>
                <w:color w:val="FFFFFF"/>
                <w:sz w:val="24"/>
                <w:szCs w:val="24"/>
              </w:rPr>
              <w:t>Dr Frost &amp; Homework</w:t>
            </w:r>
          </w:p>
        </w:tc>
      </w:tr>
      <w:tr w:rsidR="00EB15F2" w14:paraId="73ED1AEE" w14:textId="77777777">
        <w:tblPrEx>
          <w:tblCellMar>
            <w:top w:w="0" w:type="dxa"/>
            <w:bottom w:w="0" w:type="dxa"/>
          </w:tblCellMar>
        </w:tblPrEx>
        <w:tc>
          <w:tcPr>
            <w:tcW w:w="3400" w:type="dxa"/>
            <w:tcBorders>
              <w:top w:val="single" w:sz="1" w:space="0" w:color="CCCCCC"/>
              <w:left w:val="single" w:sz="1" w:space="0" w:color="CCCCCC"/>
              <w:bottom w:val="single" w:sz="1" w:space="0" w:color="CCCCCC"/>
              <w:right w:val="single" w:sz="1" w:space="0" w:color="CCCCCC"/>
            </w:tcBorders>
            <w:shd w:val="clear" w:color="auto" w:fill="EBF3FB"/>
            <w:tcMar>
              <w:top w:w="120" w:type="dxa"/>
              <w:left w:w="160" w:type="dxa"/>
              <w:bottom w:w="120" w:type="dxa"/>
              <w:right w:w="160" w:type="dxa"/>
            </w:tcMar>
          </w:tcPr>
          <w:p w14:paraId="59DE6621" w14:textId="77777777" w:rsidR="00EB15F2" w:rsidRDefault="00000000">
            <w:r>
              <w:t>How should parents use Dr Frost with their child — for homework, revision, or practice?</w:t>
            </w:r>
          </w:p>
        </w:tc>
        <w:tc>
          <w:tcPr>
            <w:tcW w:w="5960" w:type="dxa"/>
            <w:tcBorders>
              <w:top w:val="single" w:sz="1" w:space="0" w:color="CCCCCC"/>
              <w:left w:val="single" w:sz="1" w:space="0" w:color="CCCCCC"/>
              <w:bottom w:val="single" w:sz="1" w:space="0" w:color="CCCCCC"/>
              <w:right w:val="single" w:sz="1" w:space="0" w:color="CCCCCC"/>
            </w:tcBorders>
            <w:shd w:val="clear" w:color="auto" w:fill="FFFFFF"/>
            <w:tcMar>
              <w:top w:w="120" w:type="dxa"/>
              <w:left w:w="160" w:type="dxa"/>
              <w:bottom w:w="120" w:type="dxa"/>
              <w:right w:w="160" w:type="dxa"/>
            </w:tcMar>
          </w:tcPr>
          <w:p w14:paraId="4400F613" w14:textId="77777777" w:rsidR="00EB15F2" w:rsidRDefault="00000000">
            <w:r>
              <w:t>All three. For weekly homework, pupils log in and complete their set tasks — parents can sit alongside to offer encouragement. For revision, the topic-by-topic structure makes it easy to target specific areas before a test. For extra practice, pupils can self-assign tasks on any topic they want to strengthen. Hints and worked examples are built in, so it works well for independent use too.</w:t>
            </w:r>
          </w:p>
        </w:tc>
      </w:tr>
      <w:tr w:rsidR="00EB15F2" w14:paraId="44079AE3" w14:textId="77777777">
        <w:tblPrEx>
          <w:tblCellMar>
            <w:top w:w="0" w:type="dxa"/>
            <w:bottom w:w="0" w:type="dxa"/>
          </w:tblCellMar>
        </w:tblPrEx>
        <w:tc>
          <w:tcPr>
            <w:tcW w:w="3400" w:type="dxa"/>
            <w:tcBorders>
              <w:top w:val="single" w:sz="1" w:space="0" w:color="CCCCCC"/>
              <w:left w:val="single" w:sz="1" w:space="0" w:color="CCCCCC"/>
              <w:bottom w:val="single" w:sz="1" w:space="0" w:color="CCCCCC"/>
              <w:right w:val="single" w:sz="1" w:space="0" w:color="CCCCCC"/>
            </w:tcBorders>
            <w:shd w:val="clear" w:color="auto" w:fill="EBF3FB"/>
            <w:tcMar>
              <w:top w:w="120" w:type="dxa"/>
              <w:left w:w="160" w:type="dxa"/>
              <w:bottom w:w="120" w:type="dxa"/>
              <w:right w:w="160" w:type="dxa"/>
            </w:tcMar>
          </w:tcPr>
          <w:p w14:paraId="6A2F091B" w14:textId="77777777" w:rsidR="00EB15F2" w:rsidRDefault="00000000">
            <w:r>
              <w:t>Will homework be done in jotters or on iPads?</w:t>
            </w:r>
          </w:p>
        </w:tc>
        <w:tc>
          <w:tcPr>
            <w:tcW w:w="5960" w:type="dxa"/>
            <w:tcBorders>
              <w:top w:val="single" w:sz="1" w:space="0" w:color="CCCCCC"/>
              <w:left w:val="single" w:sz="1" w:space="0" w:color="CCCCCC"/>
              <w:bottom w:val="single" w:sz="1" w:space="0" w:color="CCCCCC"/>
              <w:right w:val="single" w:sz="1" w:space="0" w:color="CCCCCC"/>
            </w:tcBorders>
            <w:shd w:val="clear" w:color="auto" w:fill="FFFFFF"/>
            <w:tcMar>
              <w:top w:w="120" w:type="dxa"/>
              <w:left w:w="160" w:type="dxa"/>
              <w:bottom w:w="120" w:type="dxa"/>
              <w:right w:w="160" w:type="dxa"/>
            </w:tcMar>
          </w:tcPr>
          <w:p w14:paraId="297D392F" w14:textId="77777777" w:rsidR="00EB15F2" w:rsidRDefault="00000000">
            <w:r>
              <w:t>Both. Pupils should write their working in their maths jotter — showing full working is important exam practice — and then input their answers into Dr Frost. This allows us to analyse results and use them to inform our teaching.</w:t>
            </w:r>
          </w:p>
        </w:tc>
      </w:tr>
      <w:tr w:rsidR="00EB15F2" w14:paraId="19501FCF" w14:textId="77777777">
        <w:tblPrEx>
          <w:tblCellMar>
            <w:top w:w="0" w:type="dxa"/>
            <w:bottom w:w="0" w:type="dxa"/>
          </w:tblCellMar>
        </w:tblPrEx>
        <w:tc>
          <w:tcPr>
            <w:tcW w:w="3400" w:type="dxa"/>
            <w:tcBorders>
              <w:top w:val="single" w:sz="1" w:space="0" w:color="CCCCCC"/>
              <w:left w:val="single" w:sz="1" w:space="0" w:color="CCCCCC"/>
              <w:bottom w:val="single" w:sz="1" w:space="0" w:color="CCCCCC"/>
              <w:right w:val="single" w:sz="1" w:space="0" w:color="CCCCCC"/>
            </w:tcBorders>
            <w:shd w:val="clear" w:color="auto" w:fill="EBF3FB"/>
            <w:tcMar>
              <w:top w:w="120" w:type="dxa"/>
              <w:left w:w="160" w:type="dxa"/>
              <w:bottom w:w="120" w:type="dxa"/>
              <w:right w:w="160" w:type="dxa"/>
            </w:tcMar>
          </w:tcPr>
          <w:p w14:paraId="72CDD5FF" w14:textId="77777777" w:rsidR="00EB15F2" w:rsidRDefault="00000000">
            <w:r>
              <w:t>Can parents access Dr Frost or Teams from a home computer, or does it have to be through the child's iPad?</w:t>
            </w:r>
          </w:p>
        </w:tc>
        <w:tc>
          <w:tcPr>
            <w:tcW w:w="5960" w:type="dxa"/>
            <w:tcBorders>
              <w:top w:val="single" w:sz="1" w:space="0" w:color="CCCCCC"/>
              <w:left w:val="single" w:sz="1" w:space="0" w:color="CCCCCC"/>
              <w:bottom w:val="single" w:sz="1" w:space="0" w:color="CCCCCC"/>
              <w:right w:val="single" w:sz="1" w:space="0" w:color="CCCCCC"/>
            </w:tcBorders>
            <w:shd w:val="clear" w:color="auto" w:fill="FFFFFF"/>
            <w:tcMar>
              <w:top w:w="120" w:type="dxa"/>
              <w:left w:w="160" w:type="dxa"/>
              <w:bottom w:w="120" w:type="dxa"/>
              <w:right w:w="160" w:type="dxa"/>
            </w:tcMar>
          </w:tcPr>
          <w:p w14:paraId="5D97882D" w14:textId="77777777" w:rsidR="00EB15F2" w:rsidRDefault="00000000">
            <w:r>
              <w:t>Everything can be accessed on any device at home — laptop, phone, tablet, or desktop. Teams and OneNote require your child's school Office 365 login, and Dr Frost uses their Dr Frost login. The iPad is convenient for school use, but the same logins will work on home devices too.</w:t>
            </w:r>
          </w:p>
        </w:tc>
      </w:tr>
      <w:tr w:rsidR="00EB15F2" w14:paraId="2C3EF21B" w14:textId="77777777">
        <w:tblPrEx>
          <w:tblCellMar>
            <w:top w:w="0" w:type="dxa"/>
            <w:bottom w:w="0" w:type="dxa"/>
          </w:tblCellMar>
        </w:tblPrEx>
        <w:tc>
          <w:tcPr>
            <w:tcW w:w="3400" w:type="dxa"/>
            <w:tcBorders>
              <w:top w:val="single" w:sz="1" w:space="0" w:color="CCCCCC"/>
              <w:left w:val="single" w:sz="1" w:space="0" w:color="CCCCCC"/>
              <w:bottom w:val="single" w:sz="1" w:space="0" w:color="CCCCCC"/>
              <w:right w:val="single" w:sz="1" w:space="0" w:color="CCCCCC"/>
            </w:tcBorders>
            <w:shd w:val="clear" w:color="auto" w:fill="EBF3FB"/>
            <w:tcMar>
              <w:top w:w="120" w:type="dxa"/>
              <w:left w:w="160" w:type="dxa"/>
              <w:bottom w:w="120" w:type="dxa"/>
              <w:right w:w="160" w:type="dxa"/>
            </w:tcMar>
          </w:tcPr>
          <w:p w14:paraId="31E10C89" w14:textId="77777777" w:rsidR="00EB15F2" w:rsidRDefault="00000000">
            <w:r>
              <w:lastRenderedPageBreak/>
              <w:t>If a child is stuck on work at home, what is the best way to get help?</w:t>
            </w:r>
          </w:p>
        </w:tc>
        <w:tc>
          <w:tcPr>
            <w:tcW w:w="5960" w:type="dxa"/>
            <w:tcBorders>
              <w:top w:val="single" w:sz="1" w:space="0" w:color="CCCCCC"/>
              <w:left w:val="single" w:sz="1" w:space="0" w:color="CCCCCC"/>
              <w:bottom w:val="single" w:sz="1" w:space="0" w:color="CCCCCC"/>
              <w:right w:val="single" w:sz="1" w:space="0" w:color="CCCCCC"/>
            </w:tcBorders>
            <w:shd w:val="clear" w:color="auto" w:fill="FFFFFF"/>
            <w:tcMar>
              <w:top w:w="120" w:type="dxa"/>
              <w:left w:w="160" w:type="dxa"/>
              <w:bottom w:w="120" w:type="dxa"/>
              <w:right w:w="160" w:type="dxa"/>
            </w:tcMar>
          </w:tcPr>
          <w:p w14:paraId="21AAB06C" w14:textId="77777777" w:rsidR="00EB15F2" w:rsidRDefault="00000000">
            <w:r>
              <w:t>Teams is the first stop — each day's lesson links directly to worked examples and notes in Class Notebook. Dr Frost also has built-in videos and guides for each topic, and the Zeta Maths textbook includes worked explanations at the start of each chapter. If your child cannot find what they need, encourage them to speak to their teacher or contact the department — and do let us know if something is missing from Teams so we can update it.</w:t>
            </w:r>
          </w:p>
        </w:tc>
      </w:tr>
      <w:tr w:rsidR="00EB15F2" w14:paraId="35C1ABF6" w14:textId="77777777">
        <w:tblPrEx>
          <w:tblCellMar>
            <w:top w:w="0" w:type="dxa"/>
            <w:bottom w:w="0" w:type="dxa"/>
          </w:tblCellMar>
        </w:tblPrEx>
        <w:tc>
          <w:tcPr>
            <w:tcW w:w="9360" w:type="dxa"/>
            <w:gridSpan w:val="2"/>
            <w:tcBorders>
              <w:top w:val="single" w:sz="1" w:space="0" w:color="CCCCCC"/>
              <w:left w:val="single" w:sz="1" w:space="0" w:color="CCCCCC"/>
              <w:bottom w:val="single" w:sz="1" w:space="0" w:color="CCCCCC"/>
              <w:right w:val="single" w:sz="1" w:space="0" w:color="CCCCCC"/>
            </w:tcBorders>
            <w:shd w:val="clear" w:color="auto" w:fill="2E5D8E"/>
            <w:tcMar>
              <w:top w:w="100" w:type="dxa"/>
              <w:left w:w="160" w:type="dxa"/>
              <w:bottom w:w="100" w:type="dxa"/>
              <w:right w:w="160" w:type="dxa"/>
            </w:tcMar>
          </w:tcPr>
          <w:p w14:paraId="05DACB9B" w14:textId="77777777" w:rsidR="00EB15F2" w:rsidRDefault="00000000">
            <w:r>
              <w:rPr>
                <w:b/>
                <w:bCs/>
                <w:color w:val="FFFFFF"/>
                <w:sz w:val="24"/>
                <w:szCs w:val="24"/>
              </w:rPr>
              <w:t>Assessment &amp; Revision</w:t>
            </w:r>
          </w:p>
        </w:tc>
      </w:tr>
      <w:tr w:rsidR="00EB15F2" w14:paraId="6356314B" w14:textId="77777777">
        <w:tblPrEx>
          <w:tblCellMar>
            <w:top w:w="0" w:type="dxa"/>
            <w:bottom w:w="0" w:type="dxa"/>
          </w:tblCellMar>
        </w:tblPrEx>
        <w:tc>
          <w:tcPr>
            <w:tcW w:w="3400" w:type="dxa"/>
            <w:tcBorders>
              <w:top w:val="single" w:sz="1" w:space="0" w:color="CCCCCC"/>
              <w:left w:val="single" w:sz="1" w:space="0" w:color="CCCCCC"/>
              <w:bottom w:val="single" w:sz="1" w:space="0" w:color="CCCCCC"/>
              <w:right w:val="single" w:sz="1" w:space="0" w:color="CCCCCC"/>
            </w:tcBorders>
            <w:shd w:val="clear" w:color="auto" w:fill="EBF3FB"/>
            <w:tcMar>
              <w:top w:w="120" w:type="dxa"/>
              <w:left w:w="160" w:type="dxa"/>
              <w:bottom w:w="120" w:type="dxa"/>
              <w:right w:w="160" w:type="dxa"/>
            </w:tcMar>
          </w:tcPr>
          <w:p w14:paraId="61EECE1D" w14:textId="77777777" w:rsidR="00EB15F2" w:rsidRDefault="00000000">
            <w:r>
              <w:t>Two weeks is not much time to prepare — can revision materials be shared 4–5 weeks before a test?</w:t>
            </w:r>
          </w:p>
        </w:tc>
        <w:tc>
          <w:tcPr>
            <w:tcW w:w="5960" w:type="dxa"/>
            <w:tcBorders>
              <w:top w:val="single" w:sz="1" w:space="0" w:color="CCCCCC"/>
              <w:left w:val="single" w:sz="1" w:space="0" w:color="CCCCCC"/>
              <w:bottom w:val="single" w:sz="1" w:space="0" w:color="CCCCCC"/>
              <w:right w:val="single" w:sz="1" w:space="0" w:color="CCCCCC"/>
            </w:tcBorders>
            <w:shd w:val="clear" w:color="auto" w:fill="FFFFFF"/>
            <w:tcMar>
              <w:top w:w="120" w:type="dxa"/>
              <w:left w:w="160" w:type="dxa"/>
              <w:bottom w:w="120" w:type="dxa"/>
              <w:right w:w="160" w:type="dxa"/>
            </w:tcMar>
          </w:tcPr>
          <w:p w14:paraId="21660EE5" w14:textId="16B4679D" w:rsidR="00EB15F2" w:rsidRDefault="00000000">
            <w:r>
              <w:t xml:space="preserve">Assessment dates for the full year are shared on </w:t>
            </w:r>
            <w:hyperlink r:id="rId8" w:history="1">
              <w:r w:rsidR="003A2B9F" w:rsidRPr="003A2B9F">
                <w:rPr>
                  <w:rStyle w:val="Hyperlink"/>
                </w:rPr>
                <w:t>RHS Padlet</w:t>
              </w:r>
            </w:hyperlink>
            <w:r w:rsidR="003A2B9F">
              <w:t xml:space="preserve"> </w:t>
            </w:r>
            <w:r>
              <w:t xml:space="preserve"> at the start of the session as part of each course plan, so parents and pupils have advance notice from day one. Revision materials, homework, and low-stakes check-ups run throughout the year — there is always extra work available beyond what is completed in class, so revision can be ongoing. The two-week notice refers to when teachers will explicitly focus on final lead-in revision. Where possible, we will continue to share these final resources as early as we can.</w:t>
            </w:r>
          </w:p>
        </w:tc>
      </w:tr>
      <w:tr w:rsidR="00EB15F2" w14:paraId="6EA8F63F" w14:textId="77777777">
        <w:tblPrEx>
          <w:tblCellMar>
            <w:top w:w="0" w:type="dxa"/>
            <w:bottom w:w="0" w:type="dxa"/>
          </w:tblCellMar>
        </w:tblPrEx>
        <w:tc>
          <w:tcPr>
            <w:tcW w:w="3400" w:type="dxa"/>
            <w:tcBorders>
              <w:top w:val="single" w:sz="1" w:space="0" w:color="CCCCCC"/>
              <w:left w:val="single" w:sz="1" w:space="0" w:color="CCCCCC"/>
              <w:bottom w:val="single" w:sz="1" w:space="0" w:color="CCCCCC"/>
              <w:right w:val="single" w:sz="1" w:space="0" w:color="CCCCCC"/>
            </w:tcBorders>
            <w:shd w:val="clear" w:color="auto" w:fill="EBF3FB"/>
            <w:tcMar>
              <w:top w:w="120" w:type="dxa"/>
              <w:left w:w="160" w:type="dxa"/>
              <w:bottom w:w="120" w:type="dxa"/>
              <w:right w:w="160" w:type="dxa"/>
            </w:tcMar>
          </w:tcPr>
          <w:p w14:paraId="7CADFCBC" w14:textId="77777777" w:rsidR="00EB15F2" w:rsidRDefault="00000000">
            <w:r>
              <w:t>Assessment materials feel spread across multiple places — could everything be in one document?</w:t>
            </w:r>
          </w:p>
        </w:tc>
        <w:tc>
          <w:tcPr>
            <w:tcW w:w="5960" w:type="dxa"/>
            <w:tcBorders>
              <w:top w:val="single" w:sz="1" w:space="0" w:color="CCCCCC"/>
              <w:left w:val="single" w:sz="1" w:space="0" w:color="CCCCCC"/>
              <w:bottom w:val="single" w:sz="1" w:space="0" w:color="CCCCCC"/>
              <w:right w:val="single" w:sz="1" w:space="0" w:color="CCCCCC"/>
            </w:tcBorders>
            <w:shd w:val="clear" w:color="auto" w:fill="FFFFFF"/>
            <w:tcMar>
              <w:top w:w="120" w:type="dxa"/>
              <w:left w:w="160" w:type="dxa"/>
              <w:bottom w:w="120" w:type="dxa"/>
              <w:right w:w="160" w:type="dxa"/>
            </w:tcMar>
          </w:tcPr>
          <w:p w14:paraId="39C5A71E" w14:textId="77777777" w:rsidR="00EB15F2" w:rsidRDefault="00000000">
            <w:r>
              <w:t>We appreciate this feedback. In aiming to provide resources for a wide range of abilities, we recognise that the volume of material can feel overwhelming. Each test has a short revision guide listing the key topics, and pupils have found hyperlinked index pages particularly useful for navigating resources quickly. We will continue to build on this approach across more of our courses and classes.</w:t>
            </w:r>
          </w:p>
        </w:tc>
      </w:tr>
      <w:tr w:rsidR="00EB15F2" w14:paraId="298491CC" w14:textId="77777777">
        <w:tblPrEx>
          <w:tblCellMar>
            <w:top w:w="0" w:type="dxa"/>
            <w:bottom w:w="0" w:type="dxa"/>
          </w:tblCellMar>
        </w:tblPrEx>
        <w:tc>
          <w:tcPr>
            <w:tcW w:w="3400" w:type="dxa"/>
            <w:tcBorders>
              <w:top w:val="single" w:sz="1" w:space="0" w:color="CCCCCC"/>
              <w:left w:val="single" w:sz="1" w:space="0" w:color="CCCCCC"/>
              <w:bottom w:val="single" w:sz="1" w:space="0" w:color="CCCCCC"/>
              <w:right w:val="single" w:sz="1" w:space="0" w:color="CCCCCC"/>
            </w:tcBorders>
            <w:shd w:val="clear" w:color="auto" w:fill="EBF3FB"/>
            <w:tcMar>
              <w:top w:w="120" w:type="dxa"/>
              <w:left w:w="160" w:type="dxa"/>
              <w:bottom w:w="120" w:type="dxa"/>
              <w:right w:w="160" w:type="dxa"/>
            </w:tcMar>
          </w:tcPr>
          <w:p w14:paraId="62FBD29C" w14:textId="77777777" w:rsidR="00EB15F2" w:rsidRDefault="00000000">
            <w:r>
              <w:t>Where can we find dates for planned tests and which topics are covered when?</w:t>
            </w:r>
          </w:p>
        </w:tc>
        <w:tc>
          <w:tcPr>
            <w:tcW w:w="5960" w:type="dxa"/>
            <w:tcBorders>
              <w:top w:val="single" w:sz="1" w:space="0" w:color="CCCCCC"/>
              <w:left w:val="single" w:sz="1" w:space="0" w:color="CCCCCC"/>
              <w:bottom w:val="single" w:sz="1" w:space="0" w:color="CCCCCC"/>
              <w:right w:val="single" w:sz="1" w:space="0" w:color="CCCCCC"/>
            </w:tcBorders>
            <w:shd w:val="clear" w:color="auto" w:fill="FFFFFF"/>
            <w:tcMar>
              <w:top w:w="120" w:type="dxa"/>
              <w:left w:w="160" w:type="dxa"/>
              <w:bottom w:w="120" w:type="dxa"/>
              <w:right w:w="160" w:type="dxa"/>
            </w:tcMar>
          </w:tcPr>
          <w:p w14:paraId="71CB90F2" w14:textId="6DE84D89" w:rsidR="00EB15F2" w:rsidRDefault="00000000">
            <w:r>
              <w:t xml:space="preserve">A comprehensive course calendar — covering all topics and assessment dates for the full year — will be shared on </w:t>
            </w:r>
            <w:hyperlink r:id="rId9" w:history="1">
              <w:r w:rsidR="003A2B9F" w:rsidRPr="003A2B9F">
                <w:rPr>
                  <w:rStyle w:val="Hyperlink"/>
                </w:rPr>
                <w:t>RHS Padlet</w:t>
              </w:r>
            </w:hyperlink>
            <w:r>
              <w:t xml:space="preserve"> shortly. This will give a clear overview for every course.</w:t>
            </w:r>
          </w:p>
        </w:tc>
      </w:tr>
      <w:tr w:rsidR="00EB15F2" w14:paraId="0E222BD2" w14:textId="77777777">
        <w:tblPrEx>
          <w:tblCellMar>
            <w:top w:w="0" w:type="dxa"/>
            <w:bottom w:w="0" w:type="dxa"/>
          </w:tblCellMar>
        </w:tblPrEx>
        <w:tc>
          <w:tcPr>
            <w:tcW w:w="9360" w:type="dxa"/>
            <w:gridSpan w:val="2"/>
            <w:tcBorders>
              <w:top w:val="single" w:sz="1" w:space="0" w:color="CCCCCC"/>
              <w:left w:val="single" w:sz="1" w:space="0" w:color="CCCCCC"/>
              <w:bottom w:val="single" w:sz="1" w:space="0" w:color="CCCCCC"/>
              <w:right w:val="single" w:sz="1" w:space="0" w:color="CCCCCC"/>
            </w:tcBorders>
            <w:shd w:val="clear" w:color="auto" w:fill="2E5D8E"/>
            <w:tcMar>
              <w:top w:w="100" w:type="dxa"/>
              <w:left w:w="160" w:type="dxa"/>
              <w:bottom w:w="100" w:type="dxa"/>
              <w:right w:w="160" w:type="dxa"/>
            </w:tcMar>
          </w:tcPr>
          <w:p w14:paraId="5DD9F894" w14:textId="77777777" w:rsidR="00EB15F2" w:rsidRDefault="00000000">
            <w:r>
              <w:rPr>
                <w:b/>
                <w:bCs/>
                <w:color w:val="FFFFFF"/>
                <w:sz w:val="24"/>
                <w:szCs w:val="24"/>
              </w:rPr>
              <w:t>Support &amp; Extra Help</w:t>
            </w:r>
          </w:p>
        </w:tc>
      </w:tr>
      <w:tr w:rsidR="00EB15F2" w14:paraId="2FE102AE" w14:textId="77777777">
        <w:tblPrEx>
          <w:tblCellMar>
            <w:top w:w="0" w:type="dxa"/>
            <w:bottom w:w="0" w:type="dxa"/>
          </w:tblCellMar>
        </w:tblPrEx>
        <w:tc>
          <w:tcPr>
            <w:tcW w:w="3400" w:type="dxa"/>
            <w:tcBorders>
              <w:top w:val="single" w:sz="1" w:space="0" w:color="CCCCCC"/>
              <w:left w:val="single" w:sz="1" w:space="0" w:color="CCCCCC"/>
              <w:bottom w:val="single" w:sz="1" w:space="0" w:color="CCCCCC"/>
              <w:right w:val="single" w:sz="1" w:space="0" w:color="CCCCCC"/>
            </w:tcBorders>
            <w:shd w:val="clear" w:color="auto" w:fill="EBF3FB"/>
            <w:tcMar>
              <w:top w:w="120" w:type="dxa"/>
              <w:left w:w="160" w:type="dxa"/>
              <w:bottom w:w="120" w:type="dxa"/>
              <w:right w:w="160" w:type="dxa"/>
            </w:tcMar>
          </w:tcPr>
          <w:p w14:paraId="4FF7D9E6" w14:textId="77777777" w:rsidR="00EB15F2" w:rsidRDefault="00000000">
            <w:r>
              <w:t>What school support is available if a child needs extra help? Would they need private tuition?</w:t>
            </w:r>
          </w:p>
        </w:tc>
        <w:tc>
          <w:tcPr>
            <w:tcW w:w="5960" w:type="dxa"/>
            <w:tcBorders>
              <w:top w:val="single" w:sz="1" w:space="0" w:color="CCCCCC"/>
              <w:left w:val="single" w:sz="1" w:space="0" w:color="CCCCCC"/>
              <w:bottom w:val="single" w:sz="1" w:space="0" w:color="CCCCCC"/>
              <w:right w:val="single" w:sz="1" w:space="0" w:color="CCCCCC"/>
            </w:tcBorders>
            <w:shd w:val="clear" w:color="auto" w:fill="FFFFFF"/>
            <w:tcMar>
              <w:top w:w="120" w:type="dxa"/>
              <w:left w:w="160" w:type="dxa"/>
              <w:bottom w:w="120" w:type="dxa"/>
              <w:right w:w="160" w:type="dxa"/>
            </w:tcMar>
          </w:tcPr>
          <w:p w14:paraId="726F38C0" w14:textId="77777777" w:rsidR="00EB15F2" w:rsidRDefault="00000000">
            <w:r>
              <w:t>There is a Homework Hub that runs in school, and after-school revision sessions are organised at key points in the year — these will be advertised on Teams and Padlet when available. Most teachers also welcome pupils at break or lunch for help where they are free to do so. If you are considering private tuition, it may be helpful to speak to your child's class teacher or the Head of Department for advice first.</w:t>
            </w:r>
          </w:p>
        </w:tc>
      </w:tr>
      <w:tr w:rsidR="00EB15F2" w14:paraId="02D9D174" w14:textId="77777777">
        <w:tblPrEx>
          <w:tblCellMar>
            <w:top w:w="0" w:type="dxa"/>
            <w:bottom w:w="0" w:type="dxa"/>
          </w:tblCellMar>
        </w:tblPrEx>
        <w:tc>
          <w:tcPr>
            <w:tcW w:w="3400" w:type="dxa"/>
            <w:tcBorders>
              <w:top w:val="single" w:sz="1" w:space="0" w:color="CCCCCC"/>
              <w:left w:val="single" w:sz="1" w:space="0" w:color="CCCCCC"/>
              <w:bottom w:val="single" w:sz="1" w:space="0" w:color="CCCCCC"/>
              <w:right w:val="single" w:sz="1" w:space="0" w:color="CCCCCC"/>
            </w:tcBorders>
            <w:shd w:val="clear" w:color="auto" w:fill="EBF3FB"/>
            <w:tcMar>
              <w:top w:w="120" w:type="dxa"/>
              <w:left w:w="160" w:type="dxa"/>
              <w:bottom w:w="120" w:type="dxa"/>
              <w:right w:w="160" w:type="dxa"/>
            </w:tcMar>
          </w:tcPr>
          <w:p w14:paraId="66309A76" w14:textId="77777777" w:rsidR="00EB15F2" w:rsidRDefault="00000000">
            <w:r>
              <w:t>What are the biggest skill gaps you see in S3 pupils moving into S4?</w:t>
            </w:r>
          </w:p>
        </w:tc>
        <w:tc>
          <w:tcPr>
            <w:tcW w:w="5960" w:type="dxa"/>
            <w:tcBorders>
              <w:top w:val="single" w:sz="1" w:space="0" w:color="CCCCCC"/>
              <w:left w:val="single" w:sz="1" w:space="0" w:color="CCCCCC"/>
              <w:bottom w:val="single" w:sz="1" w:space="0" w:color="CCCCCC"/>
              <w:right w:val="single" w:sz="1" w:space="0" w:color="CCCCCC"/>
            </w:tcBorders>
            <w:shd w:val="clear" w:color="auto" w:fill="FFFFFF"/>
            <w:tcMar>
              <w:top w:w="120" w:type="dxa"/>
              <w:left w:w="160" w:type="dxa"/>
              <w:bottom w:w="120" w:type="dxa"/>
              <w:right w:w="160" w:type="dxa"/>
            </w:tcMar>
          </w:tcPr>
          <w:p w14:paraId="71A2851E" w14:textId="77777777" w:rsidR="00EB15F2" w:rsidRDefault="00000000">
            <w:r>
              <w:t xml:space="preserve">The two most common areas are written communication in maths and the ability to connect different skills when solving problems — particularly as pupils move towards exam-style questions that require choosing the right approach. Pupils can work on written communication by using the teacher-modelled examples in OneNote and Teams as a benchmark for their own working. Building problem-solving confidence is something we are actively </w:t>
            </w:r>
            <w:r>
              <w:lastRenderedPageBreak/>
              <w:t>developing through our courses and teaching approaches.</w:t>
            </w:r>
          </w:p>
        </w:tc>
      </w:tr>
      <w:tr w:rsidR="00EB15F2" w14:paraId="7614C093" w14:textId="77777777">
        <w:tblPrEx>
          <w:tblCellMar>
            <w:top w:w="0" w:type="dxa"/>
            <w:bottom w:w="0" w:type="dxa"/>
          </w:tblCellMar>
        </w:tblPrEx>
        <w:tc>
          <w:tcPr>
            <w:tcW w:w="3400" w:type="dxa"/>
            <w:tcBorders>
              <w:top w:val="single" w:sz="1" w:space="0" w:color="CCCCCC"/>
              <w:left w:val="single" w:sz="1" w:space="0" w:color="CCCCCC"/>
              <w:bottom w:val="single" w:sz="1" w:space="0" w:color="CCCCCC"/>
              <w:right w:val="single" w:sz="1" w:space="0" w:color="CCCCCC"/>
            </w:tcBorders>
            <w:shd w:val="clear" w:color="auto" w:fill="EBF3FB"/>
            <w:tcMar>
              <w:top w:w="120" w:type="dxa"/>
              <w:left w:w="160" w:type="dxa"/>
              <w:bottom w:w="120" w:type="dxa"/>
              <w:right w:w="160" w:type="dxa"/>
            </w:tcMar>
          </w:tcPr>
          <w:p w14:paraId="794504DC" w14:textId="77777777" w:rsidR="00EB15F2" w:rsidRDefault="00000000">
            <w:r>
              <w:lastRenderedPageBreak/>
              <w:t>How much independent practice is expected in S3, and does that increase in S4?</w:t>
            </w:r>
          </w:p>
        </w:tc>
        <w:tc>
          <w:tcPr>
            <w:tcW w:w="5960" w:type="dxa"/>
            <w:tcBorders>
              <w:top w:val="single" w:sz="1" w:space="0" w:color="CCCCCC"/>
              <w:left w:val="single" w:sz="1" w:space="0" w:color="CCCCCC"/>
              <w:bottom w:val="single" w:sz="1" w:space="0" w:color="CCCCCC"/>
              <w:right w:val="single" w:sz="1" w:space="0" w:color="CCCCCC"/>
            </w:tcBorders>
            <w:shd w:val="clear" w:color="auto" w:fill="FFFFFF"/>
            <w:tcMar>
              <w:top w:w="120" w:type="dxa"/>
              <w:left w:w="160" w:type="dxa"/>
              <w:bottom w:w="120" w:type="dxa"/>
              <w:right w:w="160" w:type="dxa"/>
            </w:tcMar>
          </w:tcPr>
          <w:p w14:paraId="67D87531" w14:textId="77777777" w:rsidR="00EB15F2" w:rsidRDefault="00000000">
            <w:r>
              <w:t>Dr Frost homework sets a minimum level of practice for all pupils, covering core skills for their level. However, pupils working towards National 5 — and especially those aiming for Higher in S5 — should be doing additional work beyond this. That extra practice is available through Class Notebook, the Zeta Maths textbooks, revision resources on Teams, and Dr Frost's independent study mode, where pupils can self-assign questions and access past paper problems.</w:t>
            </w:r>
          </w:p>
        </w:tc>
      </w:tr>
      <w:tr w:rsidR="00EB15F2" w14:paraId="6F7CD34D" w14:textId="77777777">
        <w:tblPrEx>
          <w:tblCellMar>
            <w:top w:w="0" w:type="dxa"/>
            <w:bottom w:w="0" w:type="dxa"/>
          </w:tblCellMar>
        </w:tblPrEx>
        <w:tc>
          <w:tcPr>
            <w:tcW w:w="9360" w:type="dxa"/>
            <w:gridSpan w:val="2"/>
            <w:tcBorders>
              <w:top w:val="single" w:sz="1" w:space="0" w:color="CCCCCC"/>
              <w:left w:val="single" w:sz="1" w:space="0" w:color="CCCCCC"/>
              <w:bottom w:val="single" w:sz="1" w:space="0" w:color="CCCCCC"/>
              <w:right w:val="single" w:sz="1" w:space="0" w:color="CCCCCC"/>
            </w:tcBorders>
            <w:shd w:val="clear" w:color="auto" w:fill="2E5D8E"/>
            <w:tcMar>
              <w:top w:w="100" w:type="dxa"/>
              <w:left w:w="160" w:type="dxa"/>
              <w:bottom w:w="100" w:type="dxa"/>
              <w:right w:w="160" w:type="dxa"/>
            </w:tcMar>
          </w:tcPr>
          <w:p w14:paraId="152CB733" w14:textId="77777777" w:rsidR="00EB15F2" w:rsidRDefault="00000000">
            <w:r>
              <w:rPr>
                <w:b/>
                <w:bCs/>
                <w:color w:val="FFFFFF"/>
                <w:sz w:val="24"/>
                <w:szCs w:val="24"/>
              </w:rPr>
              <w:t>Staffing</w:t>
            </w:r>
          </w:p>
        </w:tc>
      </w:tr>
      <w:tr w:rsidR="00EB15F2" w14:paraId="0B7A636F" w14:textId="77777777">
        <w:tblPrEx>
          <w:tblCellMar>
            <w:top w:w="0" w:type="dxa"/>
            <w:bottom w:w="0" w:type="dxa"/>
          </w:tblCellMar>
        </w:tblPrEx>
        <w:tc>
          <w:tcPr>
            <w:tcW w:w="3400" w:type="dxa"/>
            <w:tcBorders>
              <w:top w:val="single" w:sz="1" w:space="0" w:color="CCCCCC"/>
              <w:left w:val="single" w:sz="1" w:space="0" w:color="CCCCCC"/>
              <w:bottom w:val="single" w:sz="1" w:space="0" w:color="CCCCCC"/>
              <w:right w:val="single" w:sz="1" w:space="0" w:color="CCCCCC"/>
            </w:tcBorders>
            <w:shd w:val="clear" w:color="auto" w:fill="EBF3FB"/>
            <w:tcMar>
              <w:top w:w="120" w:type="dxa"/>
              <w:left w:w="160" w:type="dxa"/>
              <w:bottom w:w="120" w:type="dxa"/>
              <w:right w:w="160" w:type="dxa"/>
            </w:tcMar>
          </w:tcPr>
          <w:p w14:paraId="22C31E85" w14:textId="77777777" w:rsidR="00EB15F2" w:rsidRDefault="00000000">
            <w:r>
              <w:t>Will S2 pupils keep their current maths teacher in August, or will classes change?</w:t>
            </w:r>
          </w:p>
        </w:tc>
        <w:tc>
          <w:tcPr>
            <w:tcW w:w="5960" w:type="dxa"/>
            <w:tcBorders>
              <w:top w:val="single" w:sz="1" w:space="0" w:color="CCCCCC"/>
              <w:left w:val="single" w:sz="1" w:space="0" w:color="CCCCCC"/>
              <w:bottom w:val="single" w:sz="1" w:space="0" w:color="CCCCCC"/>
              <w:right w:val="single" w:sz="1" w:space="0" w:color="CCCCCC"/>
            </w:tcBorders>
            <w:shd w:val="clear" w:color="auto" w:fill="FFFFFF"/>
            <w:tcMar>
              <w:top w:w="120" w:type="dxa"/>
              <w:left w:w="160" w:type="dxa"/>
              <w:bottom w:w="120" w:type="dxa"/>
              <w:right w:w="160" w:type="dxa"/>
            </w:tcMar>
          </w:tcPr>
          <w:p w14:paraId="32769D39" w14:textId="77777777" w:rsidR="00EB15F2" w:rsidRDefault="00000000">
            <w:r>
              <w:t>We always try to minimise disruption and keep the same teacher with the same class where we can. However, with a large department — including part-time staff, and some changes to staffing this summer — we cannot guarantee every class will remain the same. What we can commit to is a consistent approach to learning and teaching across all classes, so your child's experience should remain familiar regardless of any changes.</w:t>
            </w:r>
          </w:p>
        </w:tc>
      </w:tr>
    </w:tbl>
    <w:p w14:paraId="714556FD" w14:textId="77777777" w:rsidR="00EB15F2" w:rsidRDefault="00EB15F2">
      <w:pPr>
        <w:spacing w:after="320"/>
      </w:pPr>
    </w:p>
    <w:p w14:paraId="0C27148F" w14:textId="77777777" w:rsidR="00EB15F2" w:rsidRDefault="00000000">
      <w:pPr>
        <w:pBdr>
          <w:bottom w:val="single" w:sz="2" w:space="4" w:color="CCCCCC"/>
        </w:pBdr>
        <w:spacing w:before="200" w:after="120"/>
      </w:pPr>
      <w:r>
        <w:rPr>
          <w:b/>
          <w:bCs/>
          <w:color w:val="2E5D8E"/>
          <w:sz w:val="24"/>
          <w:szCs w:val="24"/>
        </w:rPr>
        <w:t>General Feedback</w:t>
      </w:r>
    </w:p>
    <w:p w14:paraId="524C73F6" w14:textId="77777777" w:rsidR="00EB15F2" w:rsidRDefault="00000000">
      <w:pPr>
        <w:spacing w:after="140"/>
      </w:pPr>
      <w:r>
        <w:rPr>
          <w:b/>
          <w:bCs/>
        </w:rPr>
        <w:t xml:space="preserve">Recording access: </w:t>
      </w:r>
      <w:r>
        <w:t xml:space="preserve">Several parents joined late due to work commitments. Please note the recording is available at </w:t>
      </w:r>
      <w:hyperlink r:id="rId10" w:history="1">
        <w:r>
          <w:t>royalhighschool.co.uk/presentations-recordings</w:t>
        </w:r>
      </w:hyperlink>
      <w:r>
        <w:t xml:space="preserve"> and will remain there for future reference.</w:t>
      </w:r>
    </w:p>
    <w:p w14:paraId="5A097F2E" w14:textId="77777777" w:rsidR="00EB15F2" w:rsidRDefault="00000000">
      <w:pPr>
        <w:spacing w:after="140"/>
      </w:pPr>
      <w:r>
        <w:rPr>
          <w:b/>
          <w:bCs/>
        </w:rPr>
        <w:t xml:space="preserve">Revision resources: </w:t>
      </w:r>
      <w:r>
        <w:t>Feedback noted that revision materials can be hard to navigate across multiple locations. We will continue to improve how resources are signposted and organised.</w:t>
      </w:r>
    </w:p>
    <w:p w14:paraId="3960E73F" w14:textId="77777777" w:rsidR="00EB15F2" w:rsidRDefault="00000000">
      <w:pPr>
        <w:spacing w:before="320"/>
      </w:pPr>
      <w:r>
        <w:rPr>
          <w:i/>
          <w:iCs/>
          <w:color w:val="595959"/>
        </w:rPr>
        <w:t>For anything specific to your child, please contact the Maths department directly by email.</w:t>
      </w:r>
    </w:p>
    <w:sectPr w:rsidR="00EB15F2">
      <w:pgSz w:w="11906" w:h="16838"/>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489035B"/>
    <w:multiLevelType w:val="hybridMultilevel"/>
    <w:tmpl w:val="D1F65866"/>
    <w:lvl w:ilvl="0" w:tplc="A6D81940">
      <w:start w:val="1"/>
      <w:numFmt w:val="bullet"/>
      <w:lvlText w:val="●"/>
      <w:lvlJc w:val="left"/>
      <w:pPr>
        <w:ind w:left="720" w:hanging="360"/>
      </w:pPr>
    </w:lvl>
    <w:lvl w:ilvl="1" w:tplc="1E5E809C">
      <w:start w:val="1"/>
      <w:numFmt w:val="bullet"/>
      <w:lvlText w:val="○"/>
      <w:lvlJc w:val="left"/>
      <w:pPr>
        <w:ind w:left="1440" w:hanging="360"/>
      </w:pPr>
    </w:lvl>
    <w:lvl w:ilvl="2" w:tplc="8090AA4E">
      <w:start w:val="1"/>
      <w:numFmt w:val="bullet"/>
      <w:lvlText w:val="■"/>
      <w:lvlJc w:val="left"/>
      <w:pPr>
        <w:ind w:left="2160" w:hanging="360"/>
      </w:pPr>
    </w:lvl>
    <w:lvl w:ilvl="3" w:tplc="FEFA569E">
      <w:start w:val="1"/>
      <w:numFmt w:val="bullet"/>
      <w:lvlText w:val="●"/>
      <w:lvlJc w:val="left"/>
      <w:pPr>
        <w:ind w:left="2880" w:hanging="360"/>
      </w:pPr>
    </w:lvl>
    <w:lvl w:ilvl="4" w:tplc="52FADC7A">
      <w:start w:val="1"/>
      <w:numFmt w:val="bullet"/>
      <w:lvlText w:val="○"/>
      <w:lvlJc w:val="left"/>
      <w:pPr>
        <w:ind w:left="3600" w:hanging="360"/>
      </w:pPr>
    </w:lvl>
    <w:lvl w:ilvl="5" w:tplc="D1FA08CA">
      <w:start w:val="1"/>
      <w:numFmt w:val="bullet"/>
      <w:lvlText w:val="■"/>
      <w:lvlJc w:val="left"/>
      <w:pPr>
        <w:ind w:left="4320" w:hanging="360"/>
      </w:pPr>
    </w:lvl>
    <w:lvl w:ilvl="6" w:tplc="8DC41FCA">
      <w:start w:val="1"/>
      <w:numFmt w:val="bullet"/>
      <w:lvlText w:val="●"/>
      <w:lvlJc w:val="left"/>
      <w:pPr>
        <w:ind w:left="5040" w:hanging="360"/>
      </w:pPr>
    </w:lvl>
    <w:lvl w:ilvl="7" w:tplc="D6E2534C">
      <w:start w:val="1"/>
      <w:numFmt w:val="bullet"/>
      <w:lvlText w:val="●"/>
      <w:lvlJc w:val="left"/>
      <w:pPr>
        <w:ind w:left="5760" w:hanging="360"/>
      </w:pPr>
    </w:lvl>
    <w:lvl w:ilvl="8" w:tplc="FE1C188C">
      <w:start w:val="1"/>
      <w:numFmt w:val="bullet"/>
      <w:lvlText w:val="●"/>
      <w:lvlJc w:val="left"/>
      <w:pPr>
        <w:ind w:left="6480" w:hanging="360"/>
      </w:pPr>
    </w:lvl>
  </w:abstractNum>
  <w:num w:numId="1" w16cid:durableId="764811546">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5F2"/>
    <w:rsid w:val="003A2B9F"/>
    <w:rsid w:val="00790FB5"/>
    <w:rsid w:val="00EB15F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4:docId w14:val="1B0C1DDB"/>
  <w15:docId w15:val="{32214DC9-3AC7-174A-8C96-D6F4BFCD4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customStyle="1" w:styleId="Hyperlink1">
    <w:name w:val="Hyperlink1"/>
    <w:rPr>
      <w:color w:val="2E5D8E"/>
      <w:u w:val="single"/>
    </w:rPr>
  </w:style>
  <w:style w:type="character" w:styleId="UnresolvedMention">
    <w:name w:val="Unresolved Mention"/>
    <w:basedOn w:val="DefaultParagraphFont"/>
    <w:uiPriority w:val="99"/>
    <w:semiHidden/>
    <w:unhideWhenUsed/>
    <w:rsid w:val="003A2B9F"/>
    <w:rPr>
      <w:color w:val="605E5C"/>
      <w:shd w:val="clear" w:color="auto" w:fill="E1DFDD"/>
    </w:rPr>
  </w:style>
  <w:style w:type="character" w:styleId="FollowedHyperlink">
    <w:name w:val="FollowedHyperlink"/>
    <w:basedOn w:val="DefaultParagraphFont"/>
    <w:uiPriority w:val="99"/>
    <w:semiHidden/>
    <w:unhideWhenUsed/>
    <w:rsid w:val="003A2B9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padlet.com/Maths_Dept/rhs-maths-oal4aaoi636lkpq4" TargetMode="External"/><Relationship Id="rId3" Type="http://schemas.openxmlformats.org/officeDocument/2006/relationships/settings" Target="settings.xml"/><Relationship Id="rId7" Type="http://schemas.openxmlformats.org/officeDocument/2006/relationships/hyperlink" Target="http://youtube.com/watch?v=R6LYeCOmBnc&amp;feature=youtu.b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padlet.com/Maths_Dept/rhs-maths-oal4aaoi636lkpq4" TargetMode="External"/><Relationship Id="rId11" Type="http://schemas.openxmlformats.org/officeDocument/2006/relationships/fontTable" Target="fontTable.xml"/><Relationship Id="rId5" Type="http://schemas.openxmlformats.org/officeDocument/2006/relationships/hyperlink" Target="https://royalhighschool.co.uk/presentations-recordings/" TargetMode="External"/><Relationship Id="rId10" Type="http://schemas.openxmlformats.org/officeDocument/2006/relationships/hyperlink" Target="https://royalhighschool.co.uk/presentations-recordings/" TargetMode="External"/><Relationship Id="rId4" Type="http://schemas.openxmlformats.org/officeDocument/2006/relationships/webSettings" Target="webSettings.xml"/><Relationship Id="rId9" Type="http://schemas.openxmlformats.org/officeDocument/2006/relationships/hyperlink" Target="http://padlet.com/Maths_Dept/rhs-maths-oal4aaoi636lkpq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1091</Words>
  <Characters>6223</Characters>
  <Application>Microsoft Office Word</Application>
  <DocSecurity>0</DocSecurity>
  <Lines>51</Lines>
  <Paragraphs>14</Paragraphs>
  <ScaleCrop>false</ScaleCrop>
  <Company/>
  <LinksUpToDate>false</LinksUpToDate>
  <CharactersWithSpaces>7300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Kamran Siknder</cp:lastModifiedBy>
  <cp:revision>2</cp:revision>
  <dcterms:created xsi:type="dcterms:W3CDTF">2026-06-22T22:03:00Z</dcterms:created>
  <dcterms:modified xsi:type="dcterms:W3CDTF">2026-06-22T22:03:00Z</dcterms:modified>
</cp:coreProperties>
</file>